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DE7460" w14:textId="3E48A2A4" w:rsidR="0097096B" w:rsidRPr="00BB3955" w:rsidRDefault="0097096B" w:rsidP="0097096B">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Pr>
          <w:rFonts w:eastAsia="Times New Roman" w:cs="Arial"/>
          <w:noProof w:val="0"/>
          <w:sz w:val="24"/>
          <w:szCs w:val="28"/>
          <w:lang w:eastAsia="x-none"/>
        </w:rPr>
        <w:t>2</w:t>
      </w:r>
      <w:r w:rsidR="00700543">
        <w:rPr>
          <w:rFonts w:eastAsia="Times New Roman" w:cs="Arial"/>
          <w:noProof w:val="0"/>
          <w:sz w:val="24"/>
          <w:szCs w:val="28"/>
          <w:lang w:eastAsia="x-none"/>
        </w:rPr>
        <w:t>4</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CF4ADA" w:rsidRPr="009C36E4">
        <w:rPr>
          <w:rFonts w:eastAsia="Times New Roman" w:cs="Arial"/>
          <w:noProof w:val="0"/>
          <w:sz w:val="24"/>
          <w:szCs w:val="28"/>
          <w:lang w:eastAsia="x-none"/>
        </w:rPr>
        <w:t>R2-23</w:t>
      </w:r>
      <w:r w:rsidR="00CF4ADA">
        <w:rPr>
          <w:rFonts w:eastAsia="Times New Roman" w:cs="Arial"/>
          <w:noProof w:val="0"/>
          <w:sz w:val="24"/>
          <w:szCs w:val="28"/>
          <w:lang w:eastAsia="x-none"/>
        </w:rPr>
        <w:t>1</w:t>
      </w:r>
      <w:r w:rsidR="00CF4ADA">
        <w:rPr>
          <w:rFonts w:eastAsia="Times New Roman" w:cs="Arial"/>
          <w:noProof w:val="0"/>
          <w:sz w:val="24"/>
          <w:szCs w:val="28"/>
          <w:lang w:eastAsia="x-none"/>
        </w:rPr>
        <w:t>3067</w:t>
      </w:r>
      <w:bookmarkStart w:id="2" w:name="_GoBack"/>
      <w:bookmarkEnd w:id="2"/>
    </w:p>
    <w:p w14:paraId="41F9B491" w14:textId="56BF0711" w:rsidR="0097167E" w:rsidRPr="00BB3955" w:rsidRDefault="00700543" w:rsidP="0097096B">
      <w:pPr>
        <w:pStyle w:val="a3"/>
        <w:tabs>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Chicago</w:t>
      </w:r>
      <w:r w:rsidR="0097096B">
        <w:rPr>
          <w:rFonts w:eastAsia="Times New Roman" w:cs="Arial"/>
          <w:noProof w:val="0"/>
          <w:sz w:val="24"/>
          <w:szCs w:val="28"/>
          <w:lang w:eastAsia="x-none"/>
        </w:rPr>
        <w:t xml:space="preserve">, </w:t>
      </w:r>
      <w:r>
        <w:rPr>
          <w:rFonts w:eastAsia="Times New Roman" w:cs="Arial"/>
          <w:noProof w:val="0"/>
          <w:sz w:val="24"/>
          <w:szCs w:val="28"/>
          <w:lang w:eastAsia="x-none"/>
        </w:rPr>
        <w:t>USA</w:t>
      </w:r>
      <w:r w:rsidR="0097096B">
        <w:rPr>
          <w:rFonts w:eastAsia="Times New Roman" w:cs="Arial"/>
          <w:noProof w:val="0"/>
          <w:sz w:val="24"/>
          <w:szCs w:val="28"/>
          <w:lang w:eastAsia="x-none"/>
        </w:rPr>
        <w:t xml:space="preserve">, </w:t>
      </w:r>
      <w:r>
        <w:rPr>
          <w:rFonts w:eastAsia="Times New Roman" w:cs="Arial"/>
          <w:noProof w:val="0"/>
          <w:sz w:val="24"/>
          <w:szCs w:val="28"/>
          <w:lang w:eastAsia="x-none"/>
        </w:rPr>
        <w:t>Nov</w:t>
      </w:r>
      <w:r w:rsidR="0097096B" w:rsidRPr="00BB3955">
        <w:rPr>
          <w:rFonts w:eastAsia="Times New Roman" w:cs="Arial"/>
          <w:noProof w:val="0"/>
          <w:sz w:val="24"/>
          <w:szCs w:val="28"/>
          <w:lang w:eastAsia="x-none"/>
        </w:rPr>
        <w:t xml:space="preserve"> </w:t>
      </w:r>
      <w:r>
        <w:rPr>
          <w:rFonts w:eastAsia="Times New Roman" w:cs="Arial"/>
          <w:noProof w:val="0"/>
          <w:sz w:val="24"/>
          <w:szCs w:val="28"/>
          <w:lang w:eastAsia="x-none"/>
        </w:rPr>
        <w:t>13</w:t>
      </w:r>
      <w:r w:rsidR="0097096B" w:rsidRPr="00BB3955">
        <w:rPr>
          <w:rFonts w:eastAsia="Times New Roman" w:cs="Arial"/>
          <w:noProof w:val="0"/>
          <w:sz w:val="24"/>
          <w:szCs w:val="28"/>
          <w:lang w:eastAsia="x-none"/>
        </w:rPr>
        <w:t xml:space="preserve"> – </w:t>
      </w:r>
      <w:r w:rsidR="0097096B">
        <w:rPr>
          <w:rFonts w:eastAsia="Times New Roman" w:cs="Arial"/>
          <w:noProof w:val="0"/>
          <w:sz w:val="24"/>
          <w:szCs w:val="28"/>
          <w:lang w:eastAsia="x-none"/>
        </w:rPr>
        <w:t>1</w:t>
      </w:r>
      <w:r>
        <w:rPr>
          <w:rFonts w:eastAsia="Times New Roman" w:cs="Arial"/>
          <w:noProof w:val="0"/>
          <w:sz w:val="24"/>
          <w:szCs w:val="28"/>
          <w:lang w:eastAsia="x-none"/>
        </w:rPr>
        <w:t>7</w:t>
      </w:r>
      <w:r w:rsidR="0097096B" w:rsidRPr="00BB3955">
        <w:rPr>
          <w:rFonts w:eastAsia="Times New Roman" w:cs="Arial"/>
          <w:noProof w:val="0"/>
          <w:sz w:val="24"/>
          <w:szCs w:val="28"/>
          <w:lang w:eastAsia="x-none"/>
        </w:rPr>
        <w:t>, 202</w:t>
      </w:r>
      <w:r w:rsidR="0097096B">
        <w:rPr>
          <w:rFonts w:eastAsia="Times New Roman" w:cs="Arial"/>
          <w:noProof w:val="0"/>
          <w:sz w:val="24"/>
          <w:szCs w:val="28"/>
          <w:lang w:eastAsia="x-none"/>
        </w:rPr>
        <w:t>3</w:t>
      </w:r>
      <w:r w:rsidR="004966FB" w:rsidRPr="004966FB">
        <w:rPr>
          <w:rFonts w:cs="Arial"/>
          <w:noProof w:val="0"/>
          <w:szCs w:val="24"/>
          <w:lang w:eastAsia="x-none"/>
        </w:rPr>
        <w:t xml:space="preserve"> </w:t>
      </w:r>
      <w:r w:rsidR="004966FB">
        <w:rPr>
          <w:rFonts w:cs="Arial"/>
          <w:noProof w:val="0"/>
          <w:szCs w:val="24"/>
          <w:lang w:eastAsia="x-none"/>
        </w:rPr>
        <w:t xml:space="preserve">                                                                              Revision of R2-2311097</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79C4429B"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450A3E">
        <w:rPr>
          <w:rFonts w:ascii="Arial" w:hAnsi="Arial" w:cs="Arial"/>
          <w:szCs w:val="24"/>
        </w:rPr>
        <w:t>7</w:t>
      </w:r>
      <w:r w:rsidR="005B5E5C">
        <w:rPr>
          <w:rFonts w:ascii="Arial" w:hAnsi="Arial" w:cs="Arial"/>
          <w:szCs w:val="24"/>
        </w:rPr>
        <w:t>.4.</w:t>
      </w:r>
      <w:r w:rsidR="009533B4">
        <w:rPr>
          <w:rFonts w:ascii="Arial" w:hAnsi="Arial" w:cs="Arial"/>
          <w:szCs w:val="24"/>
        </w:rPr>
        <w:t>4</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3218488D"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700543" w:rsidRPr="00700543">
        <w:rPr>
          <w:b/>
          <w:sz w:val="24"/>
          <w:lang w:val="en-GB"/>
        </w:rPr>
        <w:t xml:space="preserve">CHO with </w:t>
      </w:r>
      <w:r w:rsidR="00700543">
        <w:rPr>
          <w:rFonts w:eastAsia="맑은 고딕" w:hint="eastAsia"/>
          <w:b/>
          <w:sz w:val="24"/>
          <w:lang w:val="en-GB" w:eastAsia="ko-KR"/>
        </w:rPr>
        <w:t>C</w:t>
      </w:r>
      <w:r w:rsidR="00700543" w:rsidRPr="00700543">
        <w:rPr>
          <w:b/>
          <w:sz w:val="24"/>
          <w:lang w:val="en-GB"/>
        </w:rPr>
        <w:t>andidate SCG</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2BBA88DB" w14:textId="5857273A" w:rsidR="00C96194" w:rsidRDefault="00C96194" w:rsidP="000F751E">
      <w:pPr>
        <w:spacing w:before="120" w:after="120"/>
        <w:jc w:val="both"/>
        <w:rPr>
          <w:rFonts w:ascii="Arial" w:hAnsi="Arial" w:cs="Arial"/>
          <w:lang w:val="en-GB"/>
        </w:rPr>
      </w:pPr>
      <w:r w:rsidRPr="00BB3955">
        <w:rPr>
          <w:rFonts w:ascii="Arial" w:hAnsi="Arial" w:cs="Arial"/>
          <w:lang w:val="en-GB"/>
        </w:rPr>
        <w:t xml:space="preserve">In this contribution, we discuss </w:t>
      </w:r>
      <w:r>
        <w:rPr>
          <w:rFonts w:ascii="Arial" w:hAnsi="Arial" w:cs="Arial"/>
          <w:lang w:val="en-GB"/>
        </w:rPr>
        <w:t xml:space="preserve">the </w:t>
      </w:r>
      <w:r w:rsidR="00700543">
        <w:rPr>
          <w:rFonts w:ascii="Arial" w:hAnsi="Arial" w:cs="Arial"/>
          <w:lang w:val="en-GB"/>
        </w:rPr>
        <w:t>additional</w:t>
      </w:r>
      <w:r>
        <w:rPr>
          <w:rFonts w:ascii="Arial" w:hAnsi="Arial" w:cs="Arial"/>
          <w:lang w:val="en-GB"/>
        </w:rPr>
        <w:t xml:space="preserve"> issue</w:t>
      </w:r>
      <w:r w:rsidR="00700543">
        <w:rPr>
          <w:rFonts w:ascii="Arial" w:hAnsi="Arial" w:cs="Arial"/>
          <w:lang w:val="en-GB"/>
        </w:rPr>
        <w:t xml:space="preserve"> on candidate management</w:t>
      </w:r>
      <w:r>
        <w:rPr>
          <w:rFonts w:ascii="Arial" w:hAnsi="Arial" w:cs="Arial"/>
          <w:lang w:val="en-GB"/>
        </w:rPr>
        <w:t xml:space="preserve"> for simultaneous execution of CHO and CPA/CPC.</w:t>
      </w:r>
    </w:p>
    <w:p w14:paraId="46569D33" w14:textId="77777777" w:rsidR="00C96194" w:rsidRPr="00330AD8" w:rsidRDefault="00C96194" w:rsidP="000F751E">
      <w:pPr>
        <w:spacing w:before="120" w:after="120"/>
        <w:jc w:val="both"/>
        <w:rPr>
          <w:rFonts w:ascii="Arial" w:eastAsiaTheme="minorEastAsia" w:hAnsi="Arial" w:cs="Arial"/>
          <w:lang w:val="en-GB"/>
        </w:rPr>
      </w:pP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4507F3D0" w14:textId="0BAEE02C" w:rsidR="00442712" w:rsidRDefault="00442712" w:rsidP="000E0625">
      <w:pPr>
        <w:spacing w:before="120" w:after="120"/>
        <w:jc w:val="both"/>
        <w:rPr>
          <w:rFonts w:ascii="Arial" w:eastAsia="맑은 고딕" w:hAnsi="Arial" w:cs="Arial"/>
          <w:lang w:val="en-GB" w:eastAsia="ko-KR"/>
        </w:rPr>
      </w:pPr>
      <w:r w:rsidRPr="00442712">
        <w:rPr>
          <w:rFonts w:ascii="Arial" w:eastAsia="맑은 고딕" w:hAnsi="Arial" w:cs="Arial"/>
          <w:lang w:val="en-GB" w:eastAsia="ko-KR"/>
        </w:rPr>
        <w:t>The candidate PSCell list prepared for CHO+CPC can have different cell lists depending on the target PCell for each CHO. Th</w:t>
      </w:r>
      <w:r>
        <w:rPr>
          <w:rFonts w:ascii="Arial" w:eastAsia="맑은 고딕" w:hAnsi="Arial" w:cs="Arial"/>
          <w:lang w:val="en-GB" w:eastAsia="ko-KR"/>
        </w:rPr>
        <w:t>us</w:t>
      </w:r>
      <w:r w:rsidRPr="00442712">
        <w:rPr>
          <w:rFonts w:ascii="Arial" w:eastAsia="맑은 고딕" w:hAnsi="Arial" w:cs="Arial"/>
          <w:lang w:val="en-GB" w:eastAsia="ko-KR"/>
        </w:rPr>
        <w:t xml:space="preserve">, candidate PSCell lists unrelated to the target PCell </w:t>
      </w:r>
      <w:r>
        <w:rPr>
          <w:rFonts w:ascii="Arial" w:eastAsia="맑은 고딕" w:hAnsi="Arial" w:cs="Arial"/>
          <w:lang w:val="en-GB" w:eastAsia="ko-KR"/>
        </w:rPr>
        <w:t xml:space="preserve">of CHO </w:t>
      </w:r>
      <w:r w:rsidRPr="00442712">
        <w:rPr>
          <w:rFonts w:ascii="Arial" w:eastAsia="맑은 고딕" w:hAnsi="Arial" w:cs="Arial"/>
          <w:lang w:val="en-GB" w:eastAsia="ko-KR"/>
        </w:rPr>
        <w:t xml:space="preserve">when </w:t>
      </w:r>
      <w:r>
        <w:rPr>
          <w:rFonts w:ascii="Arial" w:eastAsia="맑은 고딕" w:hAnsi="Arial" w:cs="Arial"/>
          <w:lang w:val="en-GB" w:eastAsia="ko-KR"/>
        </w:rPr>
        <w:t xml:space="preserve">executing </w:t>
      </w:r>
      <w:r w:rsidRPr="00442712">
        <w:rPr>
          <w:rFonts w:ascii="Arial" w:eastAsia="맑은 고딕" w:hAnsi="Arial" w:cs="Arial"/>
          <w:lang w:val="en-GB" w:eastAsia="ko-KR"/>
        </w:rPr>
        <w:t xml:space="preserve">CHO </w:t>
      </w:r>
      <w:r>
        <w:rPr>
          <w:rFonts w:ascii="Arial" w:eastAsia="맑은 고딕" w:hAnsi="Arial" w:cs="Arial"/>
          <w:lang w:val="en-GB" w:eastAsia="ko-KR"/>
        </w:rPr>
        <w:t>can be regarded as</w:t>
      </w:r>
      <w:r w:rsidRPr="00442712">
        <w:rPr>
          <w:rFonts w:ascii="Arial" w:eastAsia="맑은 고딕" w:hAnsi="Arial" w:cs="Arial"/>
          <w:lang w:val="en-GB" w:eastAsia="ko-KR"/>
        </w:rPr>
        <w:t xml:space="preserve"> not valid configurations. However, when </w:t>
      </w:r>
      <w:r>
        <w:rPr>
          <w:rFonts w:ascii="Arial" w:eastAsia="맑은 고딕" w:hAnsi="Arial" w:cs="Arial"/>
          <w:lang w:val="en-GB" w:eastAsia="ko-KR"/>
        </w:rPr>
        <w:t xml:space="preserve">executing </w:t>
      </w:r>
      <w:r w:rsidRPr="00442712">
        <w:rPr>
          <w:rFonts w:ascii="Arial" w:eastAsia="맑은 고딕" w:hAnsi="Arial" w:cs="Arial"/>
          <w:lang w:val="en-GB" w:eastAsia="ko-KR"/>
        </w:rPr>
        <w:t xml:space="preserve">CHO, the candidate PSCell list related to the related target PCell may still be a valid configuration even if CHO is </w:t>
      </w:r>
      <w:r>
        <w:rPr>
          <w:rFonts w:ascii="Arial" w:eastAsia="맑은 고딕" w:hAnsi="Arial" w:cs="Arial"/>
          <w:lang w:val="en-GB" w:eastAsia="ko-KR"/>
        </w:rPr>
        <w:t>executed because this candidate PSCell list can be still working with the target PCell after CHO</w:t>
      </w:r>
      <w:r w:rsidRPr="00442712">
        <w:rPr>
          <w:rFonts w:ascii="Arial" w:eastAsia="맑은 고딕" w:hAnsi="Arial" w:cs="Arial"/>
          <w:lang w:val="en-GB" w:eastAsia="ko-KR"/>
        </w:rPr>
        <w:t>.</w:t>
      </w:r>
    </w:p>
    <w:p w14:paraId="0B13F73F" w14:textId="63D8B7B2" w:rsidR="006D1499" w:rsidRDefault="00575788" w:rsidP="006D1499">
      <w:pPr>
        <w:spacing w:after="120"/>
        <w:ind w:left="1560" w:hanging="1560"/>
        <w:rPr>
          <w:rFonts w:ascii="Arial" w:hAnsi="Arial" w:cs="Arial"/>
          <w:b/>
          <w:bCs/>
          <w:lang w:val="en-GB"/>
        </w:rPr>
      </w:pPr>
      <w:r>
        <w:rPr>
          <w:rFonts w:ascii="Arial" w:hAnsi="Arial" w:cs="Arial"/>
          <w:b/>
          <w:bCs/>
          <w:lang w:val="en-GB"/>
        </w:rPr>
        <w:t>Observation</w:t>
      </w:r>
      <w:r w:rsidR="006D1499" w:rsidRPr="006D1499">
        <w:rPr>
          <w:rFonts w:ascii="Arial" w:hAnsi="Arial" w:cs="Arial"/>
          <w:b/>
          <w:bCs/>
          <w:lang w:val="en-GB"/>
        </w:rPr>
        <w:t>.</w:t>
      </w:r>
      <w:r w:rsidR="006D1499">
        <w:rPr>
          <w:rFonts w:ascii="Arial" w:hAnsi="Arial" w:cs="Arial"/>
          <w:b/>
          <w:bCs/>
          <w:lang w:val="en-GB"/>
        </w:rPr>
        <w:tab/>
      </w:r>
      <w:r w:rsidR="006D1499" w:rsidRPr="006D1499">
        <w:rPr>
          <w:rFonts w:ascii="Arial" w:hAnsi="Arial" w:cs="Arial"/>
          <w:b/>
          <w:bCs/>
          <w:lang w:val="en-GB"/>
        </w:rPr>
        <w:t>Each candidate PSCell for CHO+CPC can become a candidate PSCell that cannot be supported depending on the target PCell for CHO. But, each candidate PSCell for CHO+CPC can continue to be used after CHO+CPC if the target PCell for CHO is the same cell.</w:t>
      </w:r>
    </w:p>
    <w:p w14:paraId="5896F6B3" w14:textId="77777777" w:rsidR="006D1499" w:rsidRDefault="006D1499" w:rsidP="006D1499">
      <w:pPr>
        <w:spacing w:after="120"/>
        <w:ind w:left="1560" w:hanging="1560"/>
        <w:rPr>
          <w:rFonts w:ascii="Arial" w:hAnsi="Arial" w:cs="Arial"/>
          <w:b/>
          <w:bCs/>
          <w:lang w:val="en-GB"/>
        </w:rPr>
      </w:pPr>
    </w:p>
    <w:p w14:paraId="02746FB8" w14:textId="7459D797" w:rsidR="00442712" w:rsidRPr="00442712" w:rsidRDefault="00442712" w:rsidP="000E0625">
      <w:pPr>
        <w:spacing w:before="120" w:after="120"/>
        <w:jc w:val="both"/>
        <w:rPr>
          <w:rFonts w:ascii="Arial" w:eastAsia="맑은 고딕" w:hAnsi="Arial" w:cs="Arial"/>
          <w:lang w:val="en-GB" w:eastAsia="ko-KR"/>
        </w:rPr>
      </w:pPr>
      <w:r w:rsidRPr="00442712">
        <w:rPr>
          <w:rFonts w:ascii="Arial" w:eastAsia="맑은 고딕" w:hAnsi="Arial" w:cs="Arial"/>
          <w:lang w:val="en-GB" w:eastAsia="ko-KR"/>
        </w:rPr>
        <w:t xml:space="preserve">According to the current principle, the UE </w:t>
      </w:r>
      <w:r>
        <w:rPr>
          <w:rFonts w:ascii="Arial" w:eastAsia="맑은 고딕" w:hAnsi="Arial" w:cs="Arial"/>
          <w:lang w:val="en-GB" w:eastAsia="ko-KR"/>
        </w:rPr>
        <w:t>removes</w:t>
      </w:r>
      <w:r w:rsidRPr="00442712">
        <w:rPr>
          <w:rFonts w:ascii="Arial" w:eastAsia="맑은 고딕" w:hAnsi="Arial" w:cs="Arial"/>
          <w:lang w:val="en-GB" w:eastAsia="ko-KR"/>
        </w:rPr>
        <w:t xml:space="preserve"> all configured conditional reconfiguration</w:t>
      </w:r>
      <w:r w:rsidR="00B16077">
        <w:rPr>
          <w:rFonts w:ascii="Arial" w:eastAsia="맑은 고딕" w:hAnsi="Arial" w:cs="Arial"/>
          <w:lang w:val="en-GB" w:eastAsia="ko-KR"/>
        </w:rPr>
        <w:t>s</w:t>
      </w:r>
      <w:r w:rsidRPr="00442712">
        <w:rPr>
          <w:rFonts w:ascii="Arial" w:eastAsia="맑은 고딕" w:hAnsi="Arial" w:cs="Arial"/>
          <w:lang w:val="en-GB" w:eastAsia="ko-KR"/>
        </w:rPr>
        <w:t xml:space="preserve"> after performing CHO, CPC, or CPA. However, it is </w:t>
      </w:r>
      <w:r>
        <w:rPr>
          <w:rFonts w:ascii="Arial" w:eastAsia="맑은 고딕" w:hAnsi="Arial" w:cs="Arial"/>
          <w:lang w:val="en-GB" w:eastAsia="ko-KR"/>
        </w:rPr>
        <w:t xml:space="preserve">not </w:t>
      </w:r>
      <w:r w:rsidRPr="00442712">
        <w:rPr>
          <w:rFonts w:ascii="Arial" w:eastAsia="맑은 고딕" w:hAnsi="Arial" w:cs="Arial"/>
          <w:lang w:val="en-GB" w:eastAsia="ko-KR"/>
        </w:rPr>
        <w:t xml:space="preserve">helpful for the UE </w:t>
      </w:r>
      <w:r>
        <w:rPr>
          <w:rFonts w:ascii="Arial" w:eastAsia="맑은 고딕" w:hAnsi="Arial" w:cs="Arial"/>
          <w:lang w:val="en-GB" w:eastAsia="ko-KR"/>
        </w:rPr>
        <w:t xml:space="preserve">not </w:t>
      </w:r>
      <w:r w:rsidRPr="00442712">
        <w:rPr>
          <w:rFonts w:ascii="Arial" w:eastAsia="맑은 고딕" w:hAnsi="Arial" w:cs="Arial"/>
          <w:lang w:val="en-GB" w:eastAsia="ko-KR"/>
        </w:rPr>
        <w:t xml:space="preserve">to maintain the list of candidate PSCells that can still be valid </w:t>
      </w:r>
      <w:r>
        <w:rPr>
          <w:rFonts w:ascii="Arial" w:eastAsia="맑은 고딕" w:hAnsi="Arial" w:cs="Arial"/>
          <w:lang w:val="en-GB" w:eastAsia="ko-KR"/>
        </w:rPr>
        <w:t>after</w:t>
      </w:r>
      <w:r w:rsidRPr="00442712">
        <w:rPr>
          <w:rFonts w:ascii="Arial" w:eastAsia="맑은 고딕" w:hAnsi="Arial" w:cs="Arial"/>
          <w:lang w:val="en-GB" w:eastAsia="ko-KR"/>
        </w:rPr>
        <w:t xml:space="preserve"> CHO </w:t>
      </w:r>
      <w:r w:rsidR="00B16077">
        <w:rPr>
          <w:rFonts w:ascii="Arial" w:eastAsia="맑은 고딕" w:hAnsi="Arial" w:cs="Arial"/>
          <w:lang w:val="en-GB" w:eastAsia="ko-KR"/>
        </w:rPr>
        <w:t xml:space="preserve">is </w:t>
      </w:r>
      <w:r>
        <w:rPr>
          <w:rFonts w:ascii="Arial" w:eastAsia="맑은 고딕" w:hAnsi="Arial" w:cs="Arial"/>
          <w:lang w:val="en-GB" w:eastAsia="ko-KR"/>
        </w:rPr>
        <w:t>complete</w:t>
      </w:r>
      <w:r w:rsidRPr="00442712">
        <w:rPr>
          <w:rFonts w:ascii="Arial" w:eastAsia="맑은 고딕" w:hAnsi="Arial" w:cs="Arial"/>
          <w:lang w:val="en-GB" w:eastAsia="ko-KR"/>
        </w:rPr>
        <w:t xml:space="preserve">. RAN2 does not yet have an exact agreement but knows that it is </w:t>
      </w:r>
      <w:r>
        <w:rPr>
          <w:rFonts w:ascii="Arial" w:eastAsia="맑은 고딕" w:hAnsi="Arial" w:cs="Arial"/>
          <w:lang w:val="en-GB" w:eastAsia="ko-KR"/>
        </w:rPr>
        <w:t>beneficial for the UE</w:t>
      </w:r>
      <w:r w:rsidRPr="00442712">
        <w:rPr>
          <w:rFonts w:ascii="Arial" w:eastAsia="맑은 고딕" w:hAnsi="Arial" w:cs="Arial"/>
          <w:lang w:val="en-GB" w:eastAsia="ko-KR"/>
        </w:rPr>
        <w:t xml:space="preserve"> to keep the list of candidate PSCells provided for CHO+CPC even when only CHO has been </w:t>
      </w:r>
      <w:r>
        <w:rPr>
          <w:rFonts w:ascii="Arial" w:eastAsia="맑은 고딕" w:hAnsi="Arial" w:cs="Arial"/>
          <w:lang w:val="en-GB" w:eastAsia="ko-KR"/>
        </w:rPr>
        <w:t>executed</w:t>
      </w:r>
      <w:r w:rsidRPr="00442712">
        <w:rPr>
          <w:rFonts w:ascii="Arial" w:eastAsia="맑은 고딕" w:hAnsi="Arial" w:cs="Arial"/>
          <w:lang w:val="en-GB" w:eastAsia="ko-KR"/>
        </w:rPr>
        <w:t xml:space="preserve">. In the same context, even when CHO+CPC is </w:t>
      </w:r>
      <w:r>
        <w:rPr>
          <w:rFonts w:ascii="Arial" w:eastAsia="맑은 고딕" w:hAnsi="Arial" w:cs="Arial"/>
          <w:lang w:val="en-GB" w:eastAsia="ko-KR"/>
        </w:rPr>
        <w:t>simultaneously executed</w:t>
      </w:r>
      <w:r w:rsidRPr="00442712">
        <w:rPr>
          <w:rFonts w:ascii="Arial" w:eastAsia="맑은 고딕" w:hAnsi="Arial" w:cs="Arial"/>
          <w:lang w:val="en-GB" w:eastAsia="ko-KR"/>
        </w:rPr>
        <w:t xml:space="preserve">, if a valid candidate PSCell list other than the </w:t>
      </w:r>
      <w:r>
        <w:rPr>
          <w:rFonts w:ascii="Arial" w:eastAsia="맑은 고딕" w:hAnsi="Arial" w:cs="Arial"/>
          <w:lang w:val="en-GB" w:eastAsia="ko-KR"/>
        </w:rPr>
        <w:t xml:space="preserve">selected </w:t>
      </w:r>
      <w:r w:rsidRPr="00442712">
        <w:rPr>
          <w:rFonts w:ascii="Arial" w:eastAsia="맑은 고딕" w:hAnsi="Arial" w:cs="Arial"/>
          <w:lang w:val="en-GB" w:eastAsia="ko-KR"/>
        </w:rPr>
        <w:t xml:space="preserve">candidate PSCell </w:t>
      </w:r>
      <w:r>
        <w:rPr>
          <w:rFonts w:ascii="Arial" w:eastAsia="맑은 고딕" w:hAnsi="Arial" w:cs="Arial"/>
          <w:lang w:val="en-GB" w:eastAsia="ko-KR"/>
        </w:rPr>
        <w:t xml:space="preserve">as the target PSCell can be </w:t>
      </w:r>
      <w:r w:rsidR="00B16077">
        <w:rPr>
          <w:rFonts w:ascii="Arial" w:eastAsia="맑은 고딕" w:hAnsi="Arial" w:cs="Arial"/>
          <w:lang w:val="en-GB" w:eastAsia="ko-KR"/>
        </w:rPr>
        <w:t xml:space="preserve">a </w:t>
      </w:r>
      <w:r>
        <w:rPr>
          <w:rFonts w:ascii="Arial" w:eastAsia="맑은 고딕" w:hAnsi="Arial" w:cs="Arial"/>
          <w:lang w:val="en-GB" w:eastAsia="ko-KR"/>
        </w:rPr>
        <w:t>beneficial configuration</w:t>
      </w:r>
      <w:r w:rsidRPr="00442712">
        <w:rPr>
          <w:rFonts w:ascii="Arial" w:eastAsia="맑은 고딕" w:hAnsi="Arial" w:cs="Arial"/>
          <w:lang w:val="en-GB" w:eastAsia="ko-KR"/>
        </w:rPr>
        <w:t xml:space="preserve"> for the subsequent CPC in terms of mobility robustness.</w:t>
      </w:r>
    </w:p>
    <w:p w14:paraId="28B29625" w14:textId="7BE6E47E" w:rsidR="006D1499" w:rsidRPr="006D1499" w:rsidRDefault="00575788" w:rsidP="006D1499">
      <w:pPr>
        <w:spacing w:after="120"/>
        <w:ind w:left="1560" w:hanging="1560"/>
        <w:rPr>
          <w:rFonts w:ascii="Arial" w:hAnsi="Arial" w:cs="Arial"/>
          <w:b/>
          <w:bCs/>
          <w:lang w:val="en-GB"/>
        </w:rPr>
      </w:pPr>
      <w:r>
        <w:rPr>
          <w:rFonts w:ascii="Arial" w:hAnsi="Arial" w:cs="Arial"/>
          <w:b/>
          <w:bCs/>
          <w:lang w:val="en-GB"/>
        </w:rPr>
        <w:t>Proposal</w:t>
      </w:r>
      <w:r w:rsidR="006D1499" w:rsidRPr="006D1499">
        <w:rPr>
          <w:rFonts w:ascii="Arial" w:hAnsi="Arial" w:cs="Arial"/>
          <w:b/>
          <w:bCs/>
          <w:lang w:val="en-GB"/>
        </w:rPr>
        <w:t>.</w:t>
      </w:r>
      <w:r w:rsidR="006D1499">
        <w:rPr>
          <w:rFonts w:ascii="Arial" w:hAnsi="Arial" w:cs="Arial"/>
          <w:b/>
          <w:bCs/>
          <w:lang w:val="en-GB"/>
        </w:rPr>
        <w:tab/>
      </w:r>
      <w:r w:rsidR="006D1499" w:rsidRPr="006D1499">
        <w:rPr>
          <w:rFonts w:ascii="Arial" w:hAnsi="Arial" w:cs="Arial"/>
          <w:b/>
          <w:bCs/>
          <w:lang w:val="en-GB"/>
        </w:rPr>
        <w:t>Upon successful completion of CHO+CPC</w:t>
      </w:r>
      <w:r w:rsidR="00B530AC">
        <w:rPr>
          <w:rFonts w:ascii="Arial" w:hAnsi="Arial" w:cs="Arial"/>
          <w:b/>
          <w:bCs/>
          <w:lang w:val="en-GB"/>
        </w:rPr>
        <w:t xml:space="preserve"> with </w:t>
      </w:r>
      <w:r>
        <w:rPr>
          <w:rFonts w:ascii="Arial" w:hAnsi="Arial" w:cs="Arial"/>
          <w:b/>
          <w:bCs/>
          <w:lang w:val="en-GB"/>
        </w:rPr>
        <w:t xml:space="preserve">other </w:t>
      </w:r>
      <w:r w:rsidR="00B530AC">
        <w:rPr>
          <w:rFonts w:ascii="Arial" w:hAnsi="Arial" w:cs="Arial"/>
          <w:b/>
          <w:bCs/>
          <w:lang w:val="en-GB"/>
        </w:rPr>
        <w:t>candidate PSCells</w:t>
      </w:r>
      <w:r w:rsidR="006D1499" w:rsidRPr="006D1499">
        <w:rPr>
          <w:rFonts w:ascii="Arial" w:hAnsi="Arial" w:cs="Arial"/>
          <w:b/>
          <w:bCs/>
          <w:lang w:val="en-GB"/>
        </w:rPr>
        <w:t>, the</w:t>
      </w:r>
      <w:r w:rsidR="00B530AC">
        <w:rPr>
          <w:rFonts w:ascii="Arial" w:hAnsi="Arial" w:cs="Arial"/>
          <w:b/>
          <w:bCs/>
          <w:lang w:val="en-GB"/>
        </w:rPr>
        <w:t>se</w:t>
      </w:r>
      <w:r w:rsidR="006D1499" w:rsidRPr="006D1499">
        <w:rPr>
          <w:rFonts w:ascii="Arial" w:hAnsi="Arial" w:cs="Arial"/>
          <w:b/>
          <w:bCs/>
          <w:lang w:val="en-GB"/>
        </w:rPr>
        <w:t xml:space="preserve"> candidate PSCells associated with the target PCell are maintained for </w:t>
      </w:r>
      <w:r w:rsidR="00442712">
        <w:rPr>
          <w:rFonts w:ascii="Arial" w:hAnsi="Arial" w:cs="Arial"/>
          <w:b/>
          <w:bCs/>
          <w:lang w:val="en-GB"/>
        </w:rPr>
        <w:t xml:space="preserve">the </w:t>
      </w:r>
      <w:r w:rsidR="006D1499" w:rsidRPr="006D1499">
        <w:rPr>
          <w:rFonts w:ascii="Arial" w:hAnsi="Arial" w:cs="Arial"/>
          <w:b/>
          <w:bCs/>
          <w:lang w:val="en-GB"/>
        </w:rPr>
        <w:t>next CPC.</w:t>
      </w:r>
    </w:p>
    <w:p w14:paraId="1EDFCA50" w14:textId="77777777" w:rsidR="006D1499" w:rsidRDefault="006D1499" w:rsidP="00F5598F">
      <w:pPr>
        <w:spacing w:after="120"/>
        <w:ind w:left="1276" w:hanging="1276"/>
        <w:jc w:val="both"/>
        <w:rPr>
          <w:rFonts w:ascii="Arial" w:eastAsiaTheme="minorEastAsia" w:hAnsi="Arial" w:cs="Arial"/>
          <w:b/>
          <w:bCs/>
          <w:lang w:val="en-GB"/>
        </w:rPr>
      </w:pPr>
    </w:p>
    <w:p w14:paraId="3B82FF96" w14:textId="1E419108" w:rsidR="00CA00BE" w:rsidRDefault="00A505DB" w:rsidP="00A505DB">
      <w:pPr>
        <w:spacing w:before="120" w:after="120"/>
        <w:jc w:val="both"/>
        <w:rPr>
          <w:rFonts w:ascii="Arial" w:eastAsia="맑은 고딕" w:hAnsi="Arial" w:cs="Arial"/>
          <w:lang w:val="en-GB" w:eastAsia="ko-KR"/>
        </w:rPr>
      </w:pPr>
      <w:r w:rsidRPr="00A505DB">
        <w:rPr>
          <w:rFonts w:ascii="Arial" w:eastAsia="맑은 고딕" w:hAnsi="Arial" w:cs="Arial" w:hint="eastAsia"/>
          <w:lang w:val="en-GB" w:eastAsia="ko-KR"/>
        </w:rPr>
        <w:t xml:space="preserve">We describes </w:t>
      </w:r>
      <w:r w:rsidRPr="00A505DB">
        <w:rPr>
          <w:rFonts w:ascii="Arial" w:eastAsia="맑은 고딕" w:hAnsi="Arial" w:cs="Arial"/>
          <w:lang w:val="en-GB" w:eastAsia="ko-KR"/>
        </w:rPr>
        <w:t>an example below</w:t>
      </w:r>
      <w:r w:rsidR="00CA00BE">
        <w:rPr>
          <w:rFonts w:ascii="Arial" w:eastAsia="맑은 고딕" w:hAnsi="Arial" w:cs="Arial"/>
          <w:lang w:val="en-GB" w:eastAsia="ko-KR"/>
        </w:rPr>
        <w:t xml:space="preserve"> </w:t>
      </w:r>
      <w:r w:rsidR="00CA00BE">
        <w:rPr>
          <w:rFonts w:ascii="Arial" w:eastAsia="맑은 고딕" w:hAnsi="Arial" w:cs="Arial" w:hint="eastAsia"/>
          <w:lang w:val="en-GB" w:eastAsia="ko-KR"/>
        </w:rPr>
        <w:t xml:space="preserve">in </w:t>
      </w:r>
      <w:r w:rsidR="00CA00BE">
        <w:rPr>
          <w:rFonts w:ascii="Arial" w:eastAsia="맑은 고딕" w:hAnsi="Arial" w:cs="Arial"/>
          <w:lang w:val="en-GB" w:eastAsia="ko-KR"/>
        </w:rPr>
        <w:t>Figure 1</w:t>
      </w:r>
      <w:r w:rsidRPr="00A505DB">
        <w:rPr>
          <w:rFonts w:ascii="Arial" w:eastAsia="맑은 고딕" w:hAnsi="Arial" w:cs="Arial"/>
          <w:lang w:val="en-GB" w:eastAsia="ko-KR"/>
        </w:rPr>
        <w:t>.</w:t>
      </w:r>
      <w:r>
        <w:rPr>
          <w:rFonts w:ascii="Arial" w:eastAsia="맑은 고딕" w:hAnsi="Arial" w:cs="Arial"/>
          <w:lang w:val="en-GB" w:eastAsia="ko-KR"/>
        </w:rPr>
        <w:t xml:space="preserve"> </w:t>
      </w:r>
      <w:r w:rsidR="00CA00BE" w:rsidRPr="00CA00BE">
        <w:rPr>
          <w:rFonts w:ascii="Arial" w:eastAsia="맑은 고딕" w:hAnsi="Arial" w:cs="Arial"/>
          <w:lang w:val="en-GB" w:eastAsia="ko-KR"/>
        </w:rPr>
        <w:t xml:space="preserve">When UE performs CHO, </w:t>
      </w:r>
      <w:r w:rsidR="00CA00BE">
        <w:rPr>
          <w:rFonts w:ascii="Arial" w:eastAsia="맑은 고딕" w:hAnsi="Arial" w:cs="Arial"/>
          <w:lang w:val="en-GB" w:eastAsia="ko-KR"/>
        </w:rPr>
        <w:t>the UE</w:t>
      </w:r>
      <w:r w:rsidR="00CA00BE" w:rsidRPr="00CA00BE">
        <w:rPr>
          <w:rFonts w:ascii="Arial" w:eastAsia="맑은 고딕" w:hAnsi="Arial" w:cs="Arial"/>
          <w:lang w:val="en-GB" w:eastAsia="ko-KR"/>
        </w:rPr>
        <w:t xml:space="preserve"> checks </w:t>
      </w:r>
      <w:r w:rsidR="00CA00BE">
        <w:rPr>
          <w:rFonts w:ascii="Arial" w:eastAsia="맑은 고딕" w:hAnsi="Arial" w:cs="Arial"/>
          <w:lang w:val="en-GB" w:eastAsia="ko-KR"/>
        </w:rPr>
        <w:t>if there are other</w:t>
      </w:r>
      <w:r w:rsidR="00CA00BE" w:rsidRPr="00CA00BE">
        <w:rPr>
          <w:rFonts w:ascii="Arial" w:eastAsia="맑은 고딕" w:hAnsi="Arial" w:cs="Arial"/>
          <w:lang w:val="en-GB" w:eastAsia="ko-KR"/>
        </w:rPr>
        <w:t xml:space="preserve"> candidate SCG configurations associated with the target PCell</w:t>
      </w:r>
      <w:r w:rsidR="00CA00BE">
        <w:rPr>
          <w:rFonts w:ascii="Arial" w:eastAsia="맑은 고딕" w:hAnsi="Arial" w:cs="Arial"/>
          <w:lang w:val="en-GB" w:eastAsia="ko-KR"/>
        </w:rPr>
        <w:t>,</w:t>
      </w:r>
      <w:r w:rsidR="00CA00BE" w:rsidRPr="00CA00BE">
        <w:rPr>
          <w:rFonts w:ascii="Arial" w:eastAsia="맑은 고딕" w:hAnsi="Arial" w:cs="Arial"/>
          <w:lang w:val="en-GB" w:eastAsia="ko-KR"/>
        </w:rPr>
        <w:t xml:space="preserve"> and </w:t>
      </w:r>
      <w:r w:rsidR="00CA00BE">
        <w:rPr>
          <w:rFonts w:ascii="Arial" w:eastAsia="맑은 고딕" w:hAnsi="Arial" w:cs="Arial"/>
          <w:lang w:val="en-GB" w:eastAsia="ko-KR"/>
        </w:rPr>
        <w:t>the UE maintains</w:t>
      </w:r>
      <w:r w:rsidR="00CA00BE" w:rsidRPr="00CA00BE">
        <w:rPr>
          <w:rFonts w:ascii="Arial" w:eastAsia="맑은 고딕" w:hAnsi="Arial" w:cs="Arial"/>
          <w:lang w:val="en-GB" w:eastAsia="ko-KR"/>
        </w:rPr>
        <w:t xml:space="preserve"> </w:t>
      </w:r>
      <w:r w:rsidR="00CA00BE">
        <w:rPr>
          <w:rFonts w:ascii="Arial" w:eastAsia="맑은 고딕" w:hAnsi="Arial" w:cs="Arial"/>
          <w:lang w:val="en-GB" w:eastAsia="ko-KR"/>
        </w:rPr>
        <w:t xml:space="preserve">the </w:t>
      </w:r>
      <w:r w:rsidR="00CA00BE" w:rsidRPr="00CA00BE">
        <w:rPr>
          <w:rFonts w:ascii="Arial" w:eastAsia="맑은 고딕" w:hAnsi="Arial" w:cs="Arial"/>
          <w:lang w:val="en-GB" w:eastAsia="ko-KR"/>
        </w:rPr>
        <w:t>candidate SCG configurations</w:t>
      </w:r>
      <w:r w:rsidR="00CA00BE">
        <w:rPr>
          <w:rFonts w:ascii="Arial" w:eastAsia="맑은 고딕" w:hAnsi="Arial" w:cs="Arial"/>
          <w:lang w:val="en-GB" w:eastAsia="ko-KR"/>
        </w:rPr>
        <w:t xml:space="preserve"> </w:t>
      </w:r>
      <w:r w:rsidR="00CA00BE" w:rsidRPr="00CA00BE">
        <w:rPr>
          <w:rFonts w:ascii="Arial" w:eastAsia="맑은 고딕" w:hAnsi="Arial" w:cs="Arial"/>
          <w:lang w:val="en-GB" w:eastAsia="ko-KR"/>
        </w:rPr>
        <w:t>that can be used for the next CPC</w:t>
      </w:r>
      <w:r w:rsidR="00CA00BE">
        <w:rPr>
          <w:rFonts w:ascii="Arial" w:eastAsia="맑은 고딕" w:hAnsi="Arial" w:cs="Arial"/>
          <w:lang w:val="en-GB" w:eastAsia="ko-KR"/>
        </w:rPr>
        <w:t xml:space="preserve"> (i.e.</w:t>
      </w:r>
      <w:r w:rsidR="00CA00BE" w:rsidRPr="00CA00BE">
        <w:rPr>
          <w:rFonts w:ascii="Arial" w:eastAsia="맑은 고딕" w:hAnsi="Arial" w:cs="Arial"/>
          <w:lang w:val="en-GB" w:eastAsia="ko-KR"/>
        </w:rPr>
        <w:t xml:space="preserve"> </w:t>
      </w:r>
      <w:r w:rsidR="00CA00BE">
        <w:rPr>
          <w:rFonts w:ascii="Arial" w:eastAsia="맑은 고딕" w:hAnsi="Arial" w:cs="Arial"/>
          <w:lang w:val="en-GB" w:eastAsia="ko-KR"/>
        </w:rPr>
        <w:t xml:space="preserve">the UE stores the </w:t>
      </w:r>
      <w:r w:rsidR="00CA00BE" w:rsidRPr="00CA00BE">
        <w:rPr>
          <w:rFonts w:ascii="Arial" w:eastAsia="맑은 고딕" w:hAnsi="Arial" w:cs="Arial"/>
          <w:lang w:val="en-GB" w:eastAsia="ko-KR"/>
        </w:rPr>
        <w:t xml:space="preserve">candidate SCG configurations </w:t>
      </w:r>
      <w:r w:rsidR="00CA00BE">
        <w:rPr>
          <w:rFonts w:ascii="Arial" w:eastAsia="맑은 고딕" w:hAnsi="Arial" w:cs="Arial"/>
          <w:lang w:val="en-GB" w:eastAsia="ko-KR"/>
        </w:rPr>
        <w:t>and related CPC executions in the UE variables for next CPC).</w:t>
      </w:r>
      <w:r w:rsidR="00CA00BE" w:rsidRPr="00CA00BE">
        <w:rPr>
          <w:rFonts w:ascii="Arial" w:eastAsia="맑은 고딕" w:hAnsi="Arial" w:cs="Arial"/>
          <w:lang w:val="en-GB" w:eastAsia="ko-KR"/>
        </w:rPr>
        <w:t xml:space="preserve"> </w:t>
      </w:r>
      <w:r w:rsidR="00CA00BE">
        <w:rPr>
          <w:rFonts w:ascii="Arial" w:eastAsia="맑은 고딕" w:hAnsi="Arial" w:cs="Arial"/>
          <w:lang w:val="en-GB" w:eastAsia="ko-KR"/>
        </w:rPr>
        <w:t xml:space="preserve">The </w:t>
      </w:r>
      <w:r w:rsidR="00CA00BE" w:rsidRPr="00CA00BE">
        <w:rPr>
          <w:rFonts w:ascii="Arial" w:eastAsia="맑은 고딕" w:hAnsi="Arial" w:cs="Arial"/>
          <w:lang w:val="en-GB" w:eastAsia="ko-KR"/>
        </w:rPr>
        <w:t xml:space="preserve">UE </w:t>
      </w:r>
      <w:r w:rsidR="00CA00BE">
        <w:rPr>
          <w:rFonts w:ascii="Arial" w:eastAsia="맑은 고딕" w:hAnsi="Arial" w:cs="Arial"/>
          <w:lang w:val="en-GB" w:eastAsia="ko-KR"/>
        </w:rPr>
        <w:t>removes</w:t>
      </w:r>
      <w:r w:rsidR="00CA00BE" w:rsidRPr="00CA00BE">
        <w:rPr>
          <w:rFonts w:ascii="Arial" w:eastAsia="맑은 고딕" w:hAnsi="Arial" w:cs="Arial"/>
          <w:lang w:val="en-GB" w:eastAsia="ko-KR"/>
        </w:rPr>
        <w:t xml:space="preserve"> all other CHO and CPC information as legacy behavior. After CHO</w:t>
      </w:r>
      <w:r w:rsidR="00CA00BE">
        <w:rPr>
          <w:rFonts w:ascii="Arial" w:eastAsia="맑은 고딕" w:hAnsi="Arial" w:cs="Arial"/>
          <w:lang w:val="en-GB" w:eastAsia="ko-KR"/>
        </w:rPr>
        <w:t xml:space="preserve"> is </w:t>
      </w:r>
      <w:r w:rsidR="00CA00BE" w:rsidRPr="00CA00BE">
        <w:rPr>
          <w:rFonts w:ascii="Arial" w:eastAsia="맑은 고딕" w:hAnsi="Arial" w:cs="Arial"/>
          <w:lang w:val="en-GB" w:eastAsia="ko-KR"/>
        </w:rPr>
        <w:t>successfully</w:t>
      </w:r>
      <w:r w:rsidR="00CA00BE">
        <w:rPr>
          <w:rFonts w:ascii="Arial" w:eastAsia="맑은 고딕" w:hAnsi="Arial" w:cs="Arial"/>
          <w:lang w:val="en-GB" w:eastAsia="ko-KR"/>
        </w:rPr>
        <w:t xml:space="preserve"> complete</w:t>
      </w:r>
      <w:r w:rsidR="00CA00BE" w:rsidRPr="00CA00BE">
        <w:rPr>
          <w:rFonts w:ascii="Arial" w:eastAsia="맑은 고딕" w:hAnsi="Arial" w:cs="Arial"/>
          <w:lang w:val="en-GB" w:eastAsia="ko-KR"/>
        </w:rPr>
        <w:t xml:space="preserve">, </w:t>
      </w:r>
      <w:r w:rsidR="00CA00BE">
        <w:rPr>
          <w:rFonts w:ascii="Arial" w:eastAsia="맑은 고딕" w:hAnsi="Arial" w:cs="Arial"/>
          <w:lang w:val="en-GB" w:eastAsia="ko-KR"/>
        </w:rPr>
        <w:t xml:space="preserve">the </w:t>
      </w:r>
      <w:r w:rsidR="00CA00BE" w:rsidRPr="00CA00BE">
        <w:rPr>
          <w:rFonts w:ascii="Arial" w:eastAsia="맑은 고딕" w:hAnsi="Arial" w:cs="Arial"/>
          <w:lang w:val="en-GB" w:eastAsia="ko-KR"/>
        </w:rPr>
        <w:t xml:space="preserve">UE </w:t>
      </w:r>
      <w:r w:rsidR="00CA00BE">
        <w:rPr>
          <w:rFonts w:ascii="Arial" w:eastAsia="맑은 고딕" w:hAnsi="Arial" w:cs="Arial"/>
          <w:lang w:val="en-GB" w:eastAsia="ko-KR"/>
        </w:rPr>
        <w:t>starts</w:t>
      </w:r>
      <w:r w:rsidR="00CA00BE" w:rsidRPr="00CA00BE">
        <w:rPr>
          <w:rFonts w:ascii="Arial" w:eastAsia="맑은 고딕" w:hAnsi="Arial" w:cs="Arial"/>
          <w:lang w:val="en-GB" w:eastAsia="ko-KR"/>
        </w:rPr>
        <w:t xml:space="preserve"> CPC evaluation based on the maintained candidate SCG and related execution conditions until the network provides a new CPC configuration.</w:t>
      </w:r>
    </w:p>
    <w:p w14:paraId="1D31720F" w14:textId="5465ADFB" w:rsidR="00700543" w:rsidRPr="00A505DB" w:rsidRDefault="00700543" w:rsidP="00A505DB">
      <w:pPr>
        <w:spacing w:before="120" w:after="120"/>
        <w:jc w:val="both"/>
        <w:rPr>
          <w:rFonts w:ascii="Arial" w:eastAsia="맑은 고딕" w:hAnsi="Arial" w:cs="Arial"/>
          <w:lang w:val="en-GB" w:eastAsia="ko-KR"/>
        </w:rPr>
      </w:pPr>
    </w:p>
    <w:p w14:paraId="20497088" w14:textId="77777777" w:rsidR="00A505DB" w:rsidRDefault="00A505DB" w:rsidP="00A505DB">
      <w:pPr>
        <w:keepNext/>
        <w:spacing w:after="120"/>
        <w:ind w:left="1276" w:hanging="1276"/>
        <w:jc w:val="center"/>
      </w:pPr>
      <w:r>
        <w:rPr>
          <w:rFonts w:ascii="Arial" w:eastAsiaTheme="minorEastAsia" w:hAnsi="Arial" w:cs="Arial"/>
          <w:b/>
          <w:bCs/>
          <w:noProof/>
          <w:lang w:eastAsia="ko-KR"/>
        </w:rPr>
        <w:lastRenderedPageBreak/>
        <w:drawing>
          <wp:inline distT="0" distB="0" distL="0" distR="0" wp14:anchorId="186F804D" wp14:editId="5C3963D2">
            <wp:extent cx="5760000" cy="310023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00" cy="3100231"/>
                    </a:xfrm>
                    <a:prstGeom prst="rect">
                      <a:avLst/>
                    </a:prstGeom>
                    <a:noFill/>
                  </pic:spPr>
                </pic:pic>
              </a:graphicData>
            </a:graphic>
          </wp:inline>
        </w:drawing>
      </w:r>
    </w:p>
    <w:p w14:paraId="0CF16D6A" w14:textId="72C71AEA" w:rsidR="00700543" w:rsidRDefault="00A505DB" w:rsidP="00A505DB">
      <w:pPr>
        <w:pStyle w:val="ab"/>
        <w:jc w:val="center"/>
        <w:rPr>
          <w:rFonts w:ascii="Arial" w:eastAsiaTheme="minorEastAsia" w:hAnsi="Arial" w:cs="Arial"/>
          <w:b w:val="0"/>
          <w:bCs/>
        </w:rPr>
      </w:pPr>
      <w:r>
        <w:t xml:space="preserve">Figure </w:t>
      </w:r>
      <w:r>
        <w:fldChar w:fldCharType="begin"/>
      </w:r>
      <w:r>
        <w:instrText xml:space="preserve"> SEQ Figure \* ARABIC </w:instrText>
      </w:r>
      <w:r>
        <w:fldChar w:fldCharType="separate"/>
      </w:r>
      <w:r>
        <w:rPr>
          <w:noProof/>
        </w:rPr>
        <w:t>1</w:t>
      </w:r>
      <w:r>
        <w:fldChar w:fldCharType="end"/>
      </w:r>
      <w:r>
        <w:t>. An example of maintaining other candidate when performing CHO+CPC</w:t>
      </w:r>
    </w:p>
    <w:p w14:paraId="3F18B9F6" w14:textId="77777777" w:rsidR="00A505DB" w:rsidRPr="00F5598F" w:rsidRDefault="00A505DB" w:rsidP="00F5598F">
      <w:pPr>
        <w:spacing w:after="120"/>
        <w:ind w:left="1276" w:hanging="1276"/>
        <w:jc w:val="both"/>
        <w:rPr>
          <w:rFonts w:ascii="Arial" w:eastAsiaTheme="minorEastAsia" w:hAnsi="Arial" w:cs="Arial"/>
          <w:b/>
          <w:bCs/>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45E78720" w14:textId="5BD05A5D" w:rsidR="008C6734" w:rsidRDefault="008C6734" w:rsidP="008C6734">
      <w:pPr>
        <w:spacing w:after="120"/>
        <w:ind w:left="1560" w:hanging="1560"/>
        <w:rPr>
          <w:rFonts w:ascii="Arial" w:hAnsi="Arial" w:cs="Arial"/>
          <w:b/>
          <w:bCs/>
          <w:lang w:val="en-GB"/>
        </w:rPr>
      </w:pPr>
      <w:r>
        <w:rPr>
          <w:rFonts w:ascii="Arial" w:hAnsi="Arial" w:cs="Arial"/>
          <w:b/>
          <w:bCs/>
          <w:lang w:val="en-GB"/>
        </w:rPr>
        <w:t>Observation</w:t>
      </w:r>
      <w:r w:rsidRPr="006D1499">
        <w:rPr>
          <w:rFonts w:ascii="Arial" w:hAnsi="Arial" w:cs="Arial"/>
          <w:b/>
          <w:bCs/>
          <w:lang w:val="en-GB"/>
        </w:rPr>
        <w:t>.</w:t>
      </w:r>
      <w:r>
        <w:rPr>
          <w:rFonts w:ascii="Arial" w:hAnsi="Arial" w:cs="Arial"/>
          <w:b/>
          <w:bCs/>
          <w:lang w:val="en-GB"/>
        </w:rPr>
        <w:tab/>
      </w:r>
      <w:r w:rsidRPr="006D1499">
        <w:rPr>
          <w:rFonts w:ascii="Arial" w:hAnsi="Arial" w:cs="Arial"/>
          <w:b/>
          <w:bCs/>
          <w:lang w:val="en-GB"/>
        </w:rPr>
        <w:t>Each candidate PSCell for CHO+CPC can become a candidate PSCell that cannot be supported depending on the target PCell for CHO. But, each candidate PSCell for CHO+CPC can continue to be used after CHO+CPC if the target PCell for CHO is the same cell.</w:t>
      </w:r>
    </w:p>
    <w:p w14:paraId="1A626C6E" w14:textId="63277601" w:rsidR="008C6734" w:rsidRPr="006D1499" w:rsidRDefault="0097096B" w:rsidP="008C6734">
      <w:pPr>
        <w:spacing w:after="120"/>
        <w:ind w:left="1560" w:hanging="1560"/>
        <w:rPr>
          <w:rFonts w:ascii="Arial" w:hAnsi="Arial" w:cs="Arial"/>
          <w:b/>
          <w:bCs/>
          <w:lang w:val="en-GB"/>
        </w:rPr>
      </w:pPr>
      <w:r>
        <w:rPr>
          <w:rFonts w:ascii="Arial" w:hAnsi="Arial" w:cs="Arial"/>
          <w:b/>
          <w:bCs/>
          <w:lang w:val="en-GB"/>
        </w:rPr>
        <w:t>Proposal</w:t>
      </w:r>
      <w:r w:rsidR="008C6734" w:rsidRPr="006D1499">
        <w:rPr>
          <w:rFonts w:ascii="Arial" w:hAnsi="Arial" w:cs="Arial"/>
          <w:b/>
          <w:bCs/>
          <w:lang w:val="en-GB"/>
        </w:rPr>
        <w:t>.</w:t>
      </w:r>
      <w:r w:rsidR="008C6734">
        <w:rPr>
          <w:rFonts w:ascii="Arial" w:hAnsi="Arial" w:cs="Arial"/>
          <w:b/>
          <w:bCs/>
          <w:lang w:val="en-GB"/>
        </w:rPr>
        <w:tab/>
      </w:r>
      <w:r w:rsidR="008C6734" w:rsidRPr="006D1499">
        <w:rPr>
          <w:rFonts w:ascii="Arial" w:hAnsi="Arial" w:cs="Arial"/>
          <w:b/>
          <w:bCs/>
          <w:lang w:val="en-GB"/>
        </w:rPr>
        <w:t>Upon successful completion of CHO+CPC</w:t>
      </w:r>
      <w:r w:rsidR="008C6734">
        <w:rPr>
          <w:rFonts w:ascii="Arial" w:hAnsi="Arial" w:cs="Arial"/>
          <w:b/>
          <w:bCs/>
          <w:lang w:val="en-GB"/>
        </w:rPr>
        <w:t xml:space="preserve"> with other candidate PSCells</w:t>
      </w:r>
      <w:r w:rsidR="008C6734" w:rsidRPr="006D1499">
        <w:rPr>
          <w:rFonts w:ascii="Arial" w:hAnsi="Arial" w:cs="Arial"/>
          <w:b/>
          <w:bCs/>
          <w:lang w:val="en-GB"/>
        </w:rPr>
        <w:t>, the</w:t>
      </w:r>
      <w:r w:rsidR="008C6734">
        <w:rPr>
          <w:rFonts w:ascii="Arial" w:hAnsi="Arial" w:cs="Arial"/>
          <w:b/>
          <w:bCs/>
          <w:lang w:val="en-GB"/>
        </w:rPr>
        <w:t>se</w:t>
      </w:r>
      <w:r w:rsidR="008C6734" w:rsidRPr="006D1499">
        <w:rPr>
          <w:rFonts w:ascii="Arial" w:hAnsi="Arial" w:cs="Arial"/>
          <w:b/>
          <w:bCs/>
          <w:lang w:val="en-GB"/>
        </w:rPr>
        <w:t xml:space="preserve"> candidate PSCells associated with the target PCell are maintained for </w:t>
      </w:r>
      <w:r w:rsidR="008C6734">
        <w:rPr>
          <w:rFonts w:ascii="Arial" w:hAnsi="Arial" w:cs="Arial"/>
          <w:b/>
          <w:bCs/>
          <w:lang w:val="en-GB"/>
        </w:rPr>
        <w:t xml:space="preserve">the </w:t>
      </w:r>
      <w:r w:rsidR="008C6734" w:rsidRPr="006D1499">
        <w:rPr>
          <w:rFonts w:ascii="Arial" w:hAnsi="Arial" w:cs="Arial"/>
          <w:b/>
          <w:bCs/>
          <w:lang w:val="en-GB"/>
        </w:rPr>
        <w:t>next CPC.</w:t>
      </w:r>
    </w:p>
    <w:p w14:paraId="67769A10" w14:textId="77777777" w:rsidR="008C6734" w:rsidRPr="001F4A6D" w:rsidRDefault="008C6734"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5E058E38" w:rsidR="006B493F" w:rsidRPr="006C1303" w:rsidRDefault="00125503" w:rsidP="00EF1F39">
      <w:pPr>
        <w:pStyle w:val="af7"/>
        <w:numPr>
          <w:ilvl w:val="0"/>
          <w:numId w:val="5"/>
        </w:numPr>
        <w:spacing w:after="120"/>
        <w:contextualSpacing w:val="0"/>
        <w:rPr>
          <w:rFonts w:ascii="Arial" w:hAnsi="Arial" w:cs="Arial"/>
        </w:rPr>
      </w:pPr>
      <w:r>
        <w:rPr>
          <w:rFonts w:ascii="Arial" w:eastAsiaTheme="minorEastAsia" w:hAnsi="Arial" w:cs="Arial" w:hint="eastAsia"/>
          <w:lang w:eastAsia="zh-TW"/>
        </w:rPr>
        <w:t>R</w:t>
      </w:r>
      <w:r w:rsidR="00EF1F39">
        <w:rPr>
          <w:rFonts w:ascii="Arial" w:eastAsiaTheme="minorEastAsia" w:hAnsi="Arial" w:cs="Arial"/>
          <w:lang w:eastAsia="zh-TW"/>
        </w:rPr>
        <w:t>2</w:t>
      </w:r>
      <w:r>
        <w:rPr>
          <w:rFonts w:ascii="Arial" w:eastAsiaTheme="minorEastAsia" w:hAnsi="Arial" w:cs="Arial"/>
          <w:lang w:eastAsia="zh-TW"/>
        </w:rPr>
        <w:t>-2</w:t>
      </w:r>
      <w:r w:rsidR="00450A3E">
        <w:rPr>
          <w:rFonts w:ascii="Arial" w:eastAsiaTheme="minorEastAsia" w:hAnsi="Arial" w:cs="Arial"/>
          <w:lang w:eastAsia="zh-TW"/>
        </w:rPr>
        <w:t>3xxxx</w:t>
      </w:r>
      <w:r w:rsidR="003352E5">
        <w:rPr>
          <w:rFonts w:ascii="Arial" w:eastAsiaTheme="minorEastAsia" w:hAnsi="Arial" w:cs="Arial"/>
          <w:lang w:eastAsia="zh-TW"/>
        </w:rPr>
        <w:t>, “</w:t>
      </w:r>
      <w:r w:rsidR="00EF1F39" w:rsidRPr="00EF1F39">
        <w:rPr>
          <w:rFonts w:ascii="Arial" w:eastAsiaTheme="minorEastAsia" w:hAnsi="Arial" w:cs="Arial"/>
          <w:lang w:eastAsia="zh-TW"/>
        </w:rPr>
        <w:t>RAN2 Chairman</w:t>
      </w:r>
      <w:r w:rsidR="00EF1F39">
        <w:rPr>
          <w:rFonts w:ascii="Arial" w:eastAsiaTheme="minorEastAsia" w:hAnsi="Arial" w:cs="Arial"/>
          <w:lang w:eastAsia="zh-TW"/>
        </w:rPr>
        <w:t xml:space="preserve"> Notes</w:t>
      </w:r>
      <w:r w:rsidR="003352E5">
        <w:rPr>
          <w:rFonts w:ascii="Arial" w:eastAsiaTheme="minorEastAsia" w:hAnsi="Arial" w:cs="Arial"/>
          <w:lang w:eastAsia="zh-TW"/>
        </w:rPr>
        <w:t xml:space="preserve">,” MediaTek, </w:t>
      </w:r>
      <w:r w:rsidR="00C96194">
        <w:rPr>
          <w:rFonts w:ascii="Arial" w:eastAsiaTheme="minorEastAsia" w:hAnsi="Arial" w:cs="Arial"/>
          <w:lang w:eastAsia="zh-TW"/>
        </w:rPr>
        <w:t>Aug</w:t>
      </w:r>
      <w:r w:rsidR="003352E5">
        <w:rPr>
          <w:rFonts w:ascii="Arial" w:eastAsiaTheme="minorEastAsia" w:hAnsi="Arial" w:cs="Arial"/>
          <w:lang w:eastAsia="zh-TW"/>
        </w:rPr>
        <w:t xml:space="preserve"> 202</w:t>
      </w:r>
      <w:r w:rsidR="00450A3E">
        <w:rPr>
          <w:rFonts w:ascii="Arial" w:eastAsiaTheme="minorEastAsia" w:hAnsi="Arial" w:cs="Arial"/>
          <w:lang w:eastAsia="zh-TW"/>
        </w:rPr>
        <w:t>3</w:t>
      </w:r>
    </w:p>
    <w:p w14:paraId="6F552A93" w14:textId="5CC4013B" w:rsidR="006C1303" w:rsidRPr="006C1303" w:rsidRDefault="006C1303" w:rsidP="00EF1F39">
      <w:pPr>
        <w:pStyle w:val="af7"/>
        <w:numPr>
          <w:ilvl w:val="0"/>
          <w:numId w:val="5"/>
        </w:numPr>
        <w:spacing w:after="120"/>
        <w:contextualSpacing w:val="0"/>
        <w:rPr>
          <w:rFonts w:ascii="Arial" w:eastAsiaTheme="minorEastAsia" w:hAnsi="Arial" w:cs="Arial"/>
          <w:lang w:eastAsia="zh-TW"/>
        </w:rPr>
      </w:pPr>
      <w:r>
        <w:rPr>
          <w:rFonts w:ascii="Arial" w:eastAsiaTheme="minorEastAsia" w:hAnsi="Arial" w:cs="Arial"/>
          <w:lang w:eastAsia="zh-TW"/>
        </w:rPr>
        <w:t>3</w:t>
      </w:r>
      <w:r w:rsidRPr="006C1303">
        <w:rPr>
          <w:rFonts w:ascii="Arial" w:eastAsiaTheme="minorEastAsia" w:hAnsi="Arial" w:cs="Arial" w:hint="eastAsia"/>
          <w:lang w:eastAsia="zh-TW"/>
        </w:rPr>
        <w:t xml:space="preserve">GPP </w:t>
      </w:r>
      <w:r>
        <w:rPr>
          <w:rFonts w:ascii="Arial" w:eastAsiaTheme="minorEastAsia" w:hAnsi="Arial" w:cs="Arial"/>
          <w:lang w:eastAsia="zh-TW"/>
        </w:rPr>
        <w:t>37.340 v17.5.0 (2023-06)</w:t>
      </w:r>
    </w:p>
    <w:sectPr w:rsidR="006C1303" w:rsidRPr="006C1303"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D2000" w14:textId="77777777" w:rsidR="00C166BF" w:rsidRDefault="00C166BF">
      <w:pPr>
        <w:pStyle w:val="TAL"/>
      </w:pPr>
      <w:r>
        <w:separator/>
      </w:r>
    </w:p>
  </w:endnote>
  <w:endnote w:type="continuationSeparator" w:id="0">
    <w:p w14:paraId="4B3F35AB" w14:textId="77777777" w:rsidR="00C166BF" w:rsidRDefault="00C166B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800A151" w:rsidR="000E0625" w:rsidRDefault="000E0625">
    <w:pPr>
      <w:pStyle w:val="a4"/>
    </w:pPr>
    <w:r>
      <w:fldChar w:fldCharType="begin"/>
    </w:r>
    <w:r>
      <w:instrText xml:space="preserve"> PAGE   \* MERGEFORMAT </w:instrText>
    </w:r>
    <w:r>
      <w:fldChar w:fldCharType="separate"/>
    </w:r>
    <w:r w:rsidR="00CF4ADA">
      <w:t>2</w:t>
    </w:r>
    <w:r>
      <w:fldChar w:fldCharType="end"/>
    </w:r>
  </w:p>
  <w:p w14:paraId="0FBB99F7" w14:textId="77777777" w:rsidR="000E0625" w:rsidRDefault="000E062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A8912" w14:textId="77777777" w:rsidR="00C166BF" w:rsidRDefault="00C166BF">
      <w:pPr>
        <w:pStyle w:val="TAL"/>
      </w:pPr>
      <w:r>
        <w:separator/>
      </w:r>
    </w:p>
  </w:footnote>
  <w:footnote w:type="continuationSeparator" w:id="0">
    <w:p w14:paraId="0C50E1F7" w14:textId="77777777" w:rsidR="00C166BF" w:rsidRDefault="00C166B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237C6"/>
    <w:multiLevelType w:val="hybridMultilevel"/>
    <w:tmpl w:val="CBCCC8EC"/>
    <w:lvl w:ilvl="0" w:tplc="CB00600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5714A91"/>
    <w:multiLevelType w:val="hybridMultilevel"/>
    <w:tmpl w:val="E688AF96"/>
    <w:lvl w:ilvl="0" w:tplc="F5EC0234">
      <w:start w:val="1"/>
      <w:numFmt w:val="decimal"/>
      <w:lvlText w:val="%1)"/>
      <w:lvlJc w:val="left"/>
      <w:pPr>
        <w:ind w:left="1800" w:hanging="360"/>
      </w:pPr>
      <w:rPr>
        <w:rFonts w:hint="default"/>
      </w:r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5">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6">
    <w:nsid w:val="2A140C57"/>
    <w:multiLevelType w:val="hybridMultilevel"/>
    <w:tmpl w:val="F1167D48"/>
    <w:lvl w:ilvl="0" w:tplc="D1462B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59A06A7"/>
    <w:multiLevelType w:val="hybridMultilevel"/>
    <w:tmpl w:val="E688AF96"/>
    <w:lvl w:ilvl="0" w:tplc="F5EC0234">
      <w:start w:val="1"/>
      <w:numFmt w:val="decimal"/>
      <w:lvlText w:val="%1)"/>
      <w:lvlJc w:val="left"/>
      <w:pPr>
        <w:ind w:left="1800" w:hanging="360"/>
      </w:pPr>
      <w:rPr>
        <w:rFonts w:hint="default"/>
      </w:r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8">
    <w:nsid w:val="37685B79"/>
    <w:multiLevelType w:val="hybridMultilevel"/>
    <w:tmpl w:val="E688AF96"/>
    <w:lvl w:ilvl="0" w:tplc="F5EC0234">
      <w:start w:val="1"/>
      <w:numFmt w:val="decimal"/>
      <w:lvlText w:val="%1)"/>
      <w:lvlJc w:val="left"/>
      <w:pPr>
        <w:ind w:left="1800" w:hanging="360"/>
      </w:pPr>
      <w:rPr>
        <w:rFonts w:hint="default"/>
      </w:rPr>
    </w:lvl>
    <w:lvl w:ilvl="1" w:tplc="04090019" w:tentative="1">
      <w:start w:val="1"/>
      <w:numFmt w:val="upperLetter"/>
      <w:lvlText w:val="%2."/>
      <w:lvlJc w:val="left"/>
      <w:pPr>
        <w:ind w:left="2240" w:hanging="400"/>
      </w:pPr>
    </w:lvl>
    <w:lvl w:ilvl="2" w:tplc="0409001B" w:tentative="1">
      <w:start w:val="1"/>
      <w:numFmt w:val="lowerRoman"/>
      <w:lvlText w:val="%3."/>
      <w:lvlJc w:val="right"/>
      <w:pPr>
        <w:ind w:left="2640" w:hanging="400"/>
      </w:pPr>
    </w:lvl>
    <w:lvl w:ilvl="3" w:tplc="0409000F" w:tentative="1">
      <w:start w:val="1"/>
      <w:numFmt w:val="decimal"/>
      <w:lvlText w:val="%4."/>
      <w:lvlJc w:val="left"/>
      <w:pPr>
        <w:ind w:left="3040" w:hanging="400"/>
      </w:pPr>
    </w:lvl>
    <w:lvl w:ilvl="4" w:tplc="04090019" w:tentative="1">
      <w:start w:val="1"/>
      <w:numFmt w:val="upperLetter"/>
      <w:lvlText w:val="%5."/>
      <w:lvlJc w:val="left"/>
      <w:pPr>
        <w:ind w:left="3440" w:hanging="400"/>
      </w:pPr>
    </w:lvl>
    <w:lvl w:ilvl="5" w:tplc="0409001B" w:tentative="1">
      <w:start w:val="1"/>
      <w:numFmt w:val="lowerRoman"/>
      <w:lvlText w:val="%6."/>
      <w:lvlJc w:val="right"/>
      <w:pPr>
        <w:ind w:left="3840" w:hanging="400"/>
      </w:pPr>
    </w:lvl>
    <w:lvl w:ilvl="6" w:tplc="0409000F" w:tentative="1">
      <w:start w:val="1"/>
      <w:numFmt w:val="decimal"/>
      <w:lvlText w:val="%7."/>
      <w:lvlJc w:val="left"/>
      <w:pPr>
        <w:ind w:left="4240" w:hanging="400"/>
      </w:pPr>
    </w:lvl>
    <w:lvl w:ilvl="7" w:tplc="04090019" w:tentative="1">
      <w:start w:val="1"/>
      <w:numFmt w:val="upperLetter"/>
      <w:lvlText w:val="%8."/>
      <w:lvlJc w:val="left"/>
      <w:pPr>
        <w:ind w:left="4640" w:hanging="400"/>
      </w:pPr>
    </w:lvl>
    <w:lvl w:ilvl="8" w:tplc="0409001B" w:tentative="1">
      <w:start w:val="1"/>
      <w:numFmt w:val="lowerRoman"/>
      <w:lvlText w:val="%9."/>
      <w:lvlJc w:val="right"/>
      <w:pPr>
        <w:ind w:left="5040" w:hanging="400"/>
      </w:pPr>
    </w:lvl>
  </w:abstractNum>
  <w:abstractNum w:abstractNumId="9">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nsid w:val="4D3949BE"/>
    <w:multiLevelType w:val="hybridMultilevel"/>
    <w:tmpl w:val="76B6AE10"/>
    <w:lvl w:ilvl="0" w:tplc="9E56D13C">
      <w:start w:val="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432D1E"/>
    <w:multiLevelType w:val="multilevel"/>
    <w:tmpl w:val="F3D6081A"/>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4FEA0B42"/>
    <w:multiLevelType w:val="hybridMultilevel"/>
    <w:tmpl w:val="A004553C"/>
    <w:lvl w:ilvl="0" w:tplc="5E960590">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6">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15"/>
  </w:num>
  <w:num w:numId="4">
    <w:abstractNumId w:val="11"/>
  </w:num>
  <w:num w:numId="5">
    <w:abstractNumId w:val="3"/>
  </w:num>
  <w:num w:numId="6">
    <w:abstractNumId w:val="1"/>
  </w:num>
  <w:num w:numId="7">
    <w:abstractNumId w:val="14"/>
  </w:num>
  <w:num w:numId="8">
    <w:abstractNumId w:val="2"/>
  </w:num>
  <w:num w:numId="9">
    <w:abstractNumId w:val="13"/>
  </w:num>
  <w:num w:numId="10">
    <w:abstractNumId w:val="10"/>
  </w:num>
  <w:num w:numId="11">
    <w:abstractNumId w:val="6"/>
  </w:num>
  <w:num w:numId="12">
    <w:abstractNumId w:val="15"/>
  </w:num>
  <w:num w:numId="13">
    <w:abstractNumId w:val="11"/>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4"/>
  </w:num>
  <w:num w:numId="17">
    <w:abstractNumId w:val="8"/>
  </w:num>
  <w:num w:numId="18">
    <w:abstractNumId w:val="0"/>
  </w:num>
  <w:num w:numId="19">
    <w:abstractNumId w:val="15"/>
  </w:num>
  <w:num w:numId="20">
    <w:abstractNumId w:val="5"/>
  </w:num>
  <w:num w:numId="21">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NK8FAL7UXCgtAAAA"/>
  </w:docVars>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354"/>
    <w:rsid w:val="00005804"/>
    <w:rsid w:val="00005B55"/>
    <w:rsid w:val="00006332"/>
    <w:rsid w:val="00006420"/>
    <w:rsid w:val="000068B2"/>
    <w:rsid w:val="00006927"/>
    <w:rsid w:val="000069EF"/>
    <w:rsid w:val="00006B23"/>
    <w:rsid w:val="00006F30"/>
    <w:rsid w:val="00006F97"/>
    <w:rsid w:val="00007250"/>
    <w:rsid w:val="00007727"/>
    <w:rsid w:val="00007CE0"/>
    <w:rsid w:val="0001082D"/>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EF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03"/>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01"/>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4EEE"/>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3C9C"/>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625"/>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4DF"/>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AE"/>
    <w:rsid w:val="001341E3"/>
    <w:rsid w:val="0013473A"/>
    <w:rsid w:val="001349FE"/>
    <w:rsid w:val="00134B13"/>
    <w:rsid w:val="001352BE"/>
    <w:rsid w:val="001355E7"/>
    <w:rsid w:val="00136162"/>
    <w:rsid w:val="001364F1"/>
    <w:rsid w:val="0013657B"/>
    <w:rsid w:val="001365CE"/>
    <w:rsid w:val="001367F5"/>
    <w:rsid w:val="00137428"/>
    <w:rsid w:val="00137935"/>
    <w:rsid w:val="00137A6A"/>
    <w:rsid w:val="00137C28"/>
    <w:rsid w:val="00140061"/>
    <w:rsid w:val="001401CB"/>
    <w:rsid w:val="0014058C"/>
    <w:rsid w:val="001409A0"/>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126"/>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20C"/>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1C"/>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45D"/>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90"/>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A8"/>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ABE"/>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167"/>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0F2"/>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2FE2"/>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AE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27F0A"/>
    <w:rsid w:val="003306C5"/>
    <w:rsid w:val="00330AD8"/>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0D"/>
    <w:rsid w:val="0034186E"/>
    <w:rsid w:val="00341B02"/>
    <w:rsid w:val="00341EA2"/>
    <w:rsid w:val="00342217"/>
    <w:rsid w:val="00342B0D"/>
    <w:rsid w:val="00342EFF"/>
    <w:rsid w:val="00343526"/>
    <w:rsid w:val="003435A9"/>
    <w:rsid w:val="0034373D"/>
    <w:rsid w:val="00343E31"/>
    <w:rsid w:val="00343F7B"/>
    <w:rsid w:val="003446BD"/>
    <w:rsid w:val="00344A5F"/>
    <w:rsid w:val="00344D5B"/>
    <w:rsid w:val="00344FE7"/>
    <w:rsid w:val="0034572D"/>
    <w:rsid w:val="003458A2"/>
    <w:rsid w:val="00345A10"/>
    <w:rsid w:val="00345D76"/>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309"/>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CC6"/>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7CE"/>
    <w:rsid w:val="003A1BE0"/>
    <w:rsid w:val="003A1EED"/>
    <w:rsid w:val="003A1FE0"/>
    <w:rsid w:val="003A2008"/>
    <w:rsid w:val="003A26D5"/>
    <w:rsid w:val="003A2A6C"/>
    <w:rsid w:val="003A326B"/>
    <w:rsid w:val="003A32DD"/>
    <w:rsid w:val="003A38BE"/>
    <w:rsid w:val="003A3D53"/>
    <w:rsid w:val="003A4040"/>
    <w:rsid w:val="003A4084"/>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ABB"/>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5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0E"/>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6E6"/>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2"/>
    <w:rsid w:val="0044271E"/>
    <w:rsid w:val="00442C2B"/>
    <w:rsid w:val="004436C8"/>
    <w:rsid w:val="00443A02"/>
    <w:rsid w:val="00443B73"/>
    <w:rsid w:val="00443F40"/>
    <w:rsid w:val="0044436F"/>
    <w:rsid w:val="004448DE"/>
    <w:rsid w:val="00444E19"/>
    <w:rsid w:val="00445614"/>
    <w:rsid w:val="0044566C"/>
    <w:rsid w:val="00445BE7"/>
    <w:rsid w:val="00445CA3"/>
    <w:rsid w:val="00445E24"/>
    <w:rsid w:val="00446106"/>
    <w:rsid w:val="00446409"/>
    <w:rsid w:val="00446450"/>
    <w:rsid w:val="00446758"/>
    <w:rsid w:val="00446899"/>
    <w:rsid w:val="004468BB"/>
    <w:rsid w:val="00446C32"/>
    <w:rsid w:val="00446C42"/>
    <w:rsid w:val="00446EB4"/>
    <w:rsid w:val="00447CEF"/>
    <w:rsid w:val="004503E6"/>
    <w:rsid w:val="00450495"/>
    <w:rsid w:val="00450A3E"/>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136"/>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9B"/>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6FB"/>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291"/>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3C"/>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D740A"/>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18C"/>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818"/>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88"/>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4906"/>
    <w:rsid w:val="00615603"/>
    <w:rsid w:val="00615BCB"/>
    <w:rsid w:val="00615C87"/>
    <w:rsid w:val="00615F60"/>
    <w:rsid w:val="00616045"/>
    <w:rsid w:val="0061613C"/>
    <w:rsid w:val="00616227"/>
    <w:rsid w:val="0061659A"/>
    <w:rsid w:val="0061676D"/>
    <w:rsid w:val="00616853"/>
    <w:rsid w:val="00616B79"/>
    <w:rsid w:val="00616BBC"/>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72E"/>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800"/>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6EDC"/>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1C"/>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58B"/>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0"/>
    <w:rsid w:val="00694239"/>
    <w:rsid w:val="00694451"/>
    <w:rsid w:val="0069450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303"/>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499"/>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543"/>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E7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49D8"/>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48D"/>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AF0"/>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757"/>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719"/>
    <w:rsid w:val="008827C3"/>
    <w:rsid w:val="00883163"/>
    <w:rsid w:val="0088317B"/>
    <w:rsid w:val="008843D1"/>
    <w:rsid w:val="008844AD"/>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734"/>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50C"/>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381"/>
    <w:rsid w:val="009126DD"/>
    <w:rsid w:val="00912766"/>
    <w:rsid w:val="009131A0"/>
    <w:rsid w:val="00913A89"/>
    <w:rsid w:val="00914449"/>
    <w:rsid w:val="00914C69"/>
    <w:rsid w:val="00914E32"/>
    <w:rsid w:val="009151D4"/>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5CD"/>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586"/>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FC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3B4"/>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96B"/>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8F5"/>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6F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4773"/>
    <w:rsid w:val="009D4819"/>
    <w:rsid w:val="009D49DD"/>
    <w:rsid w:val="009D544E"/>
    <w:rsid w:val="009D5592"/>
    <w:rsid w:val="009D5632"/>
    <w:rsid w:val="009D5657"/>
    <w:rsid w:val="009D5813"/>
    <w:rsid w:val="009D5C2B"/>
    <w:rsid w:val="009D5E56"/>
    <w:rsid w:val="009D5F97"/>
    <w:rsid w:val="009D628A"/>
    <w:rsid w:val="009D65E6"/>
    <w:rsid w:val="009D67C1"/>
    <w:rsid w:val="009D6CA0"/>
    <w:rsid w:val="009D7581"/>
    <w:rsid w:val="009D76F3"/>
    <w:rsid w:val="009D7B68"/>
    <w:rsid w:val="009E0499"/>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54C"/>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067"/>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5DB"/>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77F"/>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077"/>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0AC"/>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6F8"/>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1A6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95B"/>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7D"/>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0C8"/>
    <w:rsid w:val="00C0716B"/>
    <w:rsid w:val="00C071E5"/>
    <w:rsid w:val="00C076DA"/>
    <w:rsid w:val="00C0791A"/>
    <w:rsid w:val="00C1015D"/>
    <w:rsid w:val="00C103AA"/>
    <w:rsid w:val="00C10E15"/>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6BF"/>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608"/>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5EE"/>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6194"/>
    <w:rsid w:val="00C9706E"/>
    <w:rsid w:val="00C9713A"/>
    <w:rsid w:val="00C97466"/>
    <w:rsid w:val="00C97747"/>
    <w:rsid w:val="00C979D8"/>
    <w:rsid w:val="00CA00BE"/>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B84"/>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01"/>
    <w:rsid w:val="00CC3F37"/>
    <w:rsid w:val="00CC4AC3"/>
    <w:rsid w:val="00CC5006"/>
    <w:rsid w:val="00CC529F"/>
    <w:rsid w:val="00CC5BB6"/>
    <w:rsid w:val="00CC5F55"/>
    <w:rsid w:val="00CC646E"/>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097"/>
    <w:rsid w:val="00CF15B1"/>
    <w:rsid w:val="00CF1A67"/>
    <w:rsid w:val="00CF1FF1"/>
    <w:rsid w:val="00CF31D0"/>
    <w:rsid w:val="00CF36B4"/>
    <w:rsid w:val="00CF384B"/>
    <w:rsid w:val="00CF3876"/>
    <w:rsid w:val="00CF3C39"/>
    <w:rsid w:val="00CF3F14"/>
    <w:rsid w:val="00CF3FEA"/>
    <w:rsid w:val="00CF4AD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B0B"/>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519"/>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3B7"/>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05C"/>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ACC"/>
    <w:rsid w:val="00DF4C3B"/>
    <w:rsid w:val="00DF5084"/>
    <w:rsid w:val="00DF513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5F"/>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5C3"/>
    <w:rsid w:val="00E22707"/>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AD3"/>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99D"/>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500"/>
    <w:rsid w:val="00E76600"/>
    <w:rsid w:val="00E7693C"/>
    <w:rsid w:val="00E769EC"/>
    <w:rsid w:val="00E76C12"/>
    <w:rsid w:val="00E773AD"/>
    <w:rsid w:val="00E779FB"/>
    <w:rsid w:val="00E77DBE"/>
    <w:rsid w:val="00E80AA5"/>
    <w:rsid w:val="00E80B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143"/>
    <w:rsid w:val="00E8631D"/>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868"/>
    <w:rsid w:val="00EE7D5D"/>
    <w:rsid w:val="00EF010B"/>
    <w:rsid w:val="00EF0945"/>
    <w:rsid w:val="00EF16A7"/>
    <w:rsid w:val="00EF1CC2"/>
    <w:rsid w:val="00EF1F39"/>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8A"/>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98F"/>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97F71"/>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3AAE"/>
    <w:rsid w:val="00FD43B4"/>
    <w:rsid w:val="00FD491E"/>
    <w:rsid w:val="00FD498D"/>
    <w:rsid w:val="00FD4A80"/>
    <w:rsid w:val="00FD4FF4"/>
    <w:rsid w:val="00FD52B1"/>
    <w:rsid w:val="00FD5657"/>
    <w:rsid w:val="00FD56D9"/>
    <w:rsid w:val="00FD5ABF"/>
    <w:rsid w:val="00FD5E95"/>
    <w:rsid w:val="00FD605C"/>
    <w:rsid w:val="00FD61EC"/>
    <w:rsid w:val="00FD6262"/>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761"/>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sChar">
    <w:name w:val="Comments Char"/>
    <w:basedOn w:val="a0"/>
    <w:link w:val="Comments"/>
    <w:locked/>
    <w:rsid w:val="00741E7E"/>
    <w:rPr>
      <w:rFonts w:ascii="CG Times (WN)" w:hAnsi="CG Times (WN)"/>
      <w:i/>
      <w:iCs/>
      <w:lang w:eastAsia="en-GB"/>
    </w:rPr>
  </w:style>
  <w:style w:type="paragraph" w:customStyle="1" w:styleId="Comments">
    <w:name w:val="Comments"/>
    <w:basedOn w:val="a"/>
    <w:link w:val="CommentsChar"/>
    <w:rsid w:val="00741E7E"/>
    <w:pPr>
      <w:spacing w:before="100" w:beforeAutospacing="1"/>
      <w:jc w:val="both"/>
    </w:pPr>
    <w:rPr>
      <w:rFonts w:ascii="CG Times (WN)" w:hAnsi="CG Times (WN)"/>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05115336">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52877354">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77768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62632138">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15875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10F2DF66-6290-4000-A93E-EC9DA017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2</Pages>
  <Words>503</Words>
  <Characters>2872</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3369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13</cp:revision>
  <cp:lastPrinted>2007-12-21T04:58:00Z</cp:lastPrinted>
  <dcterms:created xsi:type="dcterms:W3CDTF">2023-05-12T06:54:00Z</dcterms:created>
  <dcterms:modified xsi:type="dcterms:W3CDTF">2023-11-02T23:54:00Z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